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84D" w:rsidRPr="0040384D" w:rsidRDefault="0040384D" w:rsidP="0040384D">
      <w:pPr>
        <w:widowControl/>
        <w:shd w:val="clear" w:color="auto" w:fill="FFFFFF"/>
        <w:spacing w:line="315" w:lineRule="atLeast"/>
        <w:jc w:val="center"/>
        <w:rPr>
          <w:rFonts w:ascii="Arial" w:eastAsia="新細明體" w:hAnsi="Arial" w:cs="Arial"/>
          <w:color w:val="222222"/>
          <w:kern w:val="0"/>
          <w:sz w:val="21"/>
          <w:szCs w:val="21"/>
        </w:rPr>
      </w:pPr>
      <w:bookmarkStart w:id="0" w:name="_GoBack"/>
      <w:r w:rsidRPr="0040384D">
        <w:rPr>
          <w:rFonts w:ascii="Arial" w:eastAsia="新細明體" w:hAnsi="Arial" w:cs="Arial"/>
          <w:color w:val="222222"/>
          <w:kern w:val="0"/>
          <w:sz w:val="28"/>
          <w:szCs w:val="28"/>
        </w:rPr>
        <w:t>把政黨政治競爭帶回來：</w:t>
      </w:r>
    </w:p>
    <w:p w:rsidR="0040384D" w:rsidRPr="0040384D" w:rsidRDefault="0040384D" w:rsidP="0040384D">
      <w:pPr>
        <w:widowControl/>
        <w:shd w:val="clear" w:color="auto" w:fill="FFFFFF"/>
        <w:spacing w:line="315" w:lineRule="atLeast"/>
        <w:jc w:val="center"/>
        <w:rPr>
          <w:rFonts w:ascii="Arial" w:eastAsia="新細明體" w:hAnsi="Arial" w:cs="Arial"/>
          <w:color w:val="222222"/>
          <w:kern w:val="0"/>
          <w:sz w:val="21"/>
          <w:szCs w:val="21"/>
        </w:rPr>
      </w:pPr>
      <w:r w:rsidRPr="0040384D">
        <w:rPr>
          <w:rFonts w:ascii="Arial" w:eastAsia="新細明體" w:hAnsi="Arial" w:cs="Arial"/>
          <w:color w:val="222222"/>
          <w:kern w:val="0"/>
          <w:sz w:val="28"/>
          <w:szCs w:val="28"/>
        </w:rPr>
        <w:t>台灣民眾對全球氣候暖化與核電災害風險感知的比較</w:t>
      </w:r>
    </w:p>
    <w:bookmarkEnd w:id="0"/>
    <w:p w:rsidR="0040384D" w:rsidRPr="0040384D" w:rsidRDefault="0040384D" w:rsidP="0040384D">
      <w:pPr>
        <w:widowControl/>
        <w:shd w:val="clear" w:color="auto" w:fill="FFFFFF"/>
        <w:rPr>
          <w:rFonts w:ascii="Arial" w:eastAsia="新細明體" w:hAnsi="Arial" w:cs="Arial"/>
          <w:color w:val="222222"/>
          <w:kern w:val="0"/>
          <w:sz w:val="21"/>
          <w:szCs w:val="21"/>
        </w:rPr>
      </w:pPr>
      <w:r w:rsidRPr="0040384D">
        <w:rPr>
          <w:rFonts w:ascii="Times New Roman" w:eastAsia="新細明體" w:hAnsi="Times New Roman" w:cs="Times New Roman"/>
          <w:color w:val="222222"/>
          <w:kern w:val="0"/>
          <w:sz w:val="21"/>
          <w:szCs w:val="21"/>
        </w:rPr>
        <w:t> </w:t>
      </w:r>
    </w:p>
    <w:p w:rsidR="0040384D" w:rsidRPr="0040384D" w:rsidRDefault="0040384D" w:rsidP="0040384D">
      <w:pPr>
        <w:widowControl/>
        <w:shd w:val="clear" w:color="auto" w:fill="FFFFFF"/>
        <w:spacing w:line="315" w:lineRule="atLeast"/>
        <w:jc w:val="center"/>
        <w:rPr>
          <w:rFonts w:ascii="Arial" w:eastAsia="新細明體" w:hAnsi="Arial" w:cs="Arial"/>
          <w:color w:val="222222"/>
          <w:kern w:val="0"/>
          <w:sz w:val="21"/>
          <w:szCs w:val="21"/>
        </w:rPr>
      </w:pPr>
      <w:r w:rsidRPr="0040384D">
        <w:rPr>
          <w:rFonts w:ascii="新細明體" w:eastAsia="新細明體" w:hAnsi="新細明體" w:cs="Arial" w:hint="eastAsia"/>
          <w:color w:val="222222"/>
          <w:kern w:val="0"/>
          <w:sz w:val="21"/>
          <w:szCs w:val="21"/>
        </w:rPr>
        <w:t>邱銘哲</w:t>
      </w:r>
    </w:p>
    <w:p w:rsidR="0040384D" w:rsidRPr="0040384D" w:rsidRDefault="0040384D" w:rsidP="0040384D">
      <w:pPr>
        <w:widowControl/>
        <w:shd w:val="clear" w:color="auto" w:fill="FFFFFF"/>
        <w:spacing w:line="315" w:lineRule="atLeast"/>
        <w:jc w:val="center"/>
        <w:rPr>
          <w:rFonts w:ascii="Arial" w:eastAsia="新細明體" w:hAnsi="Arial" w:cs="Arial"/>
          <w:color w:val="222222"/>
          <w:kern w:val="0"/>
          <w:sz w:val="21"/>
          <w:szCs w:val="21"/>
        </w:rPr>
      </w:pPr>
      <w:r w:rsidRPr="0040384D">
        <w:rPr>
          <w:rFonts w:ascii="新細明體" w:eastAsia="新細明體" w:hAnsi="新細明體" w:cs="Arial" w:hint="eastAsia"/>
          <w:color w:val="222222"/>
          <w:kern w:val="0"/>
          <w:sz w:val="21"/>
          <w:szCs w:val="21"/>
        </w:rPr>
        <w:t>國立清華大學社會學研究所博士生</w:t>
      </w:r>
    </w:p>
    <w:p w:rsidR="0040384D" w:rsidRPr="0040384D" w:rsidRDefault="0040384D" w:rsidP="0040384D">
      <w:pPr>
        <w:widowControl/>
        <w:shd w:val="clear" w:color="auto" w:fill="FFFFFF"/>
        <w:rPr>
          <w:rFonts w:ascii="Arial" w:eastAsia="新細明體" w:hAnsi="Arial" w:cs="Arial"/>
          <w:color w:val="222222"/>
          <w:kern w:val="0"/>
          <w:sz w:val="21"/>
          <w:szCs w:val="21"/>
        </w:rPr>
      </w:pPr>
      <w:r w:rsidRPr="0040384D">
        <w:rPr>
          <w:rFonts w:ascii="Times New Roman" w:eastAsia="新細明體" w:hAnsi="Times New Roman" w:cs="Times New Roman"/>
          <w:color w:val="222222"/>
          <w:kern w:val="0"/>
          <w:sz w:val="21"/>
          <w:szCs w:val="21"/>
        </w:rPr>
        <w:t> </w:t>
      </w:r>
    </w:p>
    <w:p w:rsidR="0040384D" w:rsidRPr="0040384D" w:rsidRDefault="0040384D" w:rsidP="0040384D">
      <w:pPr>
        <w:widowControl/>
        <w:shd w:val="clear" w:color="auto" w:fill="FFFFFF"/>
        <w:spacing w:line="315" w:lineRule="atLeast"/>
        <w:jc w:val="center"/>
        <w:rPr>
          <w:rFonts w:ascii="Arial" w:eastAsia="新細明體" w:hAnsi="Arial" w:cs="Arial"/>
          <w:color w:val="222222"/>
          <w:kern w:val="0"/>
          <w:sz w:val="21"/>
          <w:szCs w:val="21"/>
        </w:rPr>
      </w:pPr>
    </w:p>
    <w:p w:rsidR="0040384D" w:rsidRPr="0040384D" w:rsidRDefault="0040384D" w:rsidP="0040384D">
      <w:pPr>
        <w:widowControl/>
        <w:shd w:val="clear" w:color="auto" w:fill="FFFFFF"/>
        <w:spacing w:line="315" w:lineRule="atLeast"/>
        <w:jc w:val="center"/>
        <w:rPr>
          <w:rFonts w:ascii="Arial" w:eastAsia="新細明體" w:hAnsi="Arial" w:cs="Arial"/>
          <w:color w:val="222222"/>
          <w:kern w:val="0"/>
          <w:sz w:val="21"/>
          <w:szCs w:val="21"/>
        </w:rPr>
      </w:pPr>
      <w:r w:rsidRPr="0040384D">
        <w:rPr>
          <w:rFonts w:ascii="Times New Roman" w:eastAsia="新細明體" w:hAnsi="Times New Roman" w:cs="Times New Roman"/>
          <w:color w:val="222222"/>
          <w:kern w:val="0"/>
          <w:sz w:val="21"/>
          <w:szCs w:val="21"/>
        </w:rPr>
        <w:t> </w:t>
      </w:r>
    </w:p>
    <w:p w:rsidR="0040384D" w:rsidRPr="0040384D" w:rsidRDefault="0040384D" w:rsidP="0040384D">
      <w:pPr>
        <w:widowControl/>
        <w:shd w:val="clear" w:color="auto" w:fill="FFFFFF"/>
        <w:spacing w:line="315" w:lineRule="atLeast"/>
        <w:rPr>
          <w:rFonts w:ascii="Arial" w:eastAsia="新細明體" w:hAnsi="Arial" w:cs="Arial"/>
          <w:color w:val="222222"/>
          <w:kern w:val="0"/>
          <w:sz w:val="21"/>
          <w:szCs w:val="21"/>
        </w:rPr>
      </w:pPr>
      <w:r w:rsidRPr="0040384D">
        <w:rPr>
          <w:rFonts w:ascii="Arial" w:eastAsia="新細明體" w:hAnsi="Arial" w:cs="Arial"/>
          <w:color w:val="222222"/>
          <w:kern w:val="0"/>
          <w:sz w:val="21"/>
          <w:szCs w:val="21"/>
        </w:rPr>
        <w:t>摘要</w:t>
      </w:r>
    </w:p>
    <w:p w:rsidR="0040384D" w:rsidRPr="0040384D" w:rsidRDefault="0040384D" w:rsidP="0040384D">
      <w:pPr>
        <w:widowControl/>
        <w:shd w:val="clear" w:color="auto" w:fill="FFFFFF"/>
        <w:spacing w:line="315" w:lineRule="atLeast"/>
        <w:ind w:firstLine="480"/>
        <w:jc w:val="both"/>
        <w:rPr>
          <w:rFonts w:ascii="Arial" w:eastAsia="新細明體" w:hAnsi="Arial" w:cs="Arial"/>
          <w:color w:val="222222"/>
          <w:kern w:val="0"/>
          <w:sz w:val="21"/>
          <w:szCs w:val="21"/>
        </w:rPr>
      </w:pPr>
      <w:r w:rsidRPr="0040384D">
        <w:rPr>
          <w:rFonts w:ascii="新細明體" w:eastAsia="新細明體" w:hAnsi="新細明體" w:cs="Arial" w:hint="eastAsia"/>
          <w:color w:val="252525"/>
          <w:kern w:val="0"/>
          <w:sz w:val="21"/>
          <w:szCs w:val="21"/>
        </w:rPr>
        <w:t>全球氣候暖化與核電災害的風險論述，在台灣以核四存廢為焦點的能源政治中具有重要的位置，朝野政黨對此兩項科技風險議題採取不同的政策論述策略並進行政治動員。本文比較台灣民眾對全球氣候暖化與核電災害的風險感知，探討其影響因素為何？政黨政治競爭又在其中扮演什麼樣的角色？藉以進一步理解台灣的科技風險政治，以及全球風險在地化的機制與過程。透過對</w:t>
      </w:r>
      <w:r w:rsidRPr="0040384D">
        <w:rPr>
          <w:rFonts w:ascii="Times New Roman" w:eastAsia="新細明體" w:hAnsi="Times New Roman" w:cs="Times New Roman"/>
          <w:color w:val="252525"/>
          <w:kern w:val="0"/>
          <w:sz w:val="21"/>
          <w:szCs w:val="21"/>
        </w:rPr>
        <w:t>2013</w:t>
      </w:r>
      <w:r w:rsidRPr="0040384D">
        <w:rPr>
          <w:rFonts w:ascii="新細明體" w:eastAsia="新細明體" w:hAnsi="新細明體" w:cs="Arial" w:hint="eastAsia"/>
          <w:color w:val="252525"/>
          <w:kern w:val="0"/>
          <w:sz w:val="21"/>
          <w:szCs w:val="21"/>
        </w:rPr>
        <w:t>年「『台灣社會變遷基本調查』第六期第四次計畫：社會風險組」資料的實證分析，本文發現，政黨政治競爭是影響台灣民眾對全球氣候暖化與核電災害風險感知的重要機制，科技議題是否成為政治競爭的爭論點，影響了我們對各項可能影響因子的解讀。本文指出，政黨政治競爭是台灣對全球風險在地建構的選擇濾鏡，風險知識與風險論述透過此一政治機制進行再結構化，並持續反餽而加深了科技系統風險的政治性。亦即，氣候暖化與核電災害這兩個全球性風險被鑲嵌在台灣的政治社會結構中，並因國內層次的政黨政治競爭而在地化了。</w:t>
      </w:r>
    </w:p>
    <w:p w:rsidR="00626CAA" w:rsidRDefault="00626CAA"/>
    <w:sectPr w:rsidR="00626CA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4D"/>
    <w:rsid w:val="0040384D"/>
    <w:rsid w:val="00626C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4201E-3535-4E92-8B8F-246D70EC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Tina_Liu</dc:creator>
  <cp:keywords/>
  <dc:description/>
  <cp:lastModifiedBy>Tina_Liu</cp:lastModifiedBy>
  <cp:revision>1</cp:revision>
  <dcterms:created xsi:type="dcterms:W3CDTF">2015-10-24T08:22:00Z</dcterms:created>
  <dcterms:modified xsi:type="dcterms:W3CDTF">2015-10-24T08:23:00Z</dcterms:modified>
</cp:coreProperties>
</file>